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60" w:line="276"/>
        <w:ind w:right="0" w:left="36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Témata synody 2021-2023 (krat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š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í verze)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Na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spole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čn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é cest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ě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42"/>
          <w:shd w:fill="auto" w:val="clear"/>
        </w:rPr>
        <w:t xml:space="preserve"> 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 kým v církvi spole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čně putujeme, kdo je stranou či opom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íjen, kdo mimo církev putuje podobnou cestou spolu s námi?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Naslouchat</w:t>
      </w:r>
    </w:p>
    <w:p>
      <w:pPr>
        <w:spacing w:before="0" w:after="0" w:line="276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Komu dlu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íme naslouchání, jak p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řij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ímáme druhé: laiky (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ženy, ml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áde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ž), menšiny, zavržen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é, jak spolupracujeme se zasv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ěcen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ými lidmi, jaké máme p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ředsudky, jak vn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ímáme své spole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čensk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é a kulturní prost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řed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í?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Ujmout se slova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42"/>
          <w:shd w:fill="auto" w:val="clear"/>
        </w:rPr>
        <w:t xml:space="preserve"> </w:t>
      </w:r>
    </w:p>
    <w:p>
      <w:pPr>
        <w:spacing w:before="0" w:after="0" w:line="276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Komunikujeme spolu v na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šem společenstv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i obecn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 ve společnosti upř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ímn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 a svobodně, odv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žně a otevřeně, dař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se nám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íct, co máme na srdci?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Slavit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42"/>
          <w:shd w:fill="auto" w:val="clear"/>
        </w:rPr>
        <w:t xml:space="preserve"> </w:t>
      </w:r>
    </w:p>
    <w:p>
      <w:pPr>
        <w:spacing w:before="0" w:after="0" w:line="276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Jak intenzivn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 ud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ává sm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ěr našemu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spole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ému putování“ modlitba a m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še svat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á? Jak podporujeme aktivní 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čast všech věř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ících na liturgii a vykonávání úlohy posv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ěcov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ání? Jaký prostor má slu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žba lektora a akolyty?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Spoluzodpov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ědnost za misijn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í poslání</w:t>
      </w:r>
    </w:p>
    <w:p>
      <w:pPr>
        <w:spacing w:before="0" w:after="0" w:line="276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 misijnímu poslání jsou povoláni 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šichni členov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é církve. Jak je ka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ý pok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řtěn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ý zván, aby byl protagonistou misijního poslání? Jak podporuje spole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čenstv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své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členy, kteř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jsou zapojeni do slu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žby společnosti? Jak jim c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írkev pomáhá, aby vnímali toto své poslání v misijním duchu?</w:t>
      </w: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Vést dialog v církvi a ve spole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čnosti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Jaký je prostor pro dialog a jak je dialog veden uvnit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 naš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církve? Jaké jsou na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še zkušenosti s dialogem, se zapojov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áním 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ěř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ících jiných nábo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ženstv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a s 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ěmi, kdo nevěř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í?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S jinými k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řesťansk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ými denominacemi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Jaké vztahy máme s bratry a sestrami jiných k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řesťansk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ých vyznání?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Autorita a spoluú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čast</w:t>
      </w:r>
    </w:p>
    <w:p>
      <w:pPr>
        <w:spacing w:before="0" w:after="0" w:line="276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Je v církvi uplat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ňov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ána spoluú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čast a spoluzodpovědnost? Jak uplatňovat autoritu v c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írkvi? Do jaké míry je týmová práce a spoluzodpov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ědnost zaběhlou prax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í? </w:t>
      </w:r>
    </w:p>
    <w:p>
      <w:pPr>
        <w:numPr>
          <w:ilvl w:val="0"/>
          <w:numId w:val="19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Rozli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šovat a rozhodovat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 synodálním duchu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čin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íme rozhodnutí na základ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 rozlišov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ání toho, co Duch svatý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íká prost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řednictv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ím celého na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šeho společenstv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í. Jaké metody a procesy aplikujeme, kdy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 se rozhodujeme? Umožňuj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naslouchat celému Bo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ímu lidu? Jak je lze zlep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šit?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0"/>
          <w:shd w:fill="auto" w:val="clear"/>
        </w:rPr>
        <w:t xml:space="preserve">  10.Formovat se v duchu synodality</w:t>
      </w:r>
    </w:p>
    <w:p>
      <w:pPr>
        <w:spacing w:before="0" w:after="0" w:line="276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Jak na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še c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írkevní spole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čenstv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formuje lidi, aby byli ve 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ětš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mí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ře schopni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putovat spole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čně“, vz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ájemn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 si naslouchat, zapojovat se do misijn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ího poslání a do dialogu?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3">
    <w:abstractNumId w:val="48"/>
  </w:num>
  <w:num w:numId="5">
    <w:abstractNumId w:val="42"/>
  </w:num>
  <w:num w:numId="7">
    <w:abstractNumId w:val="36"/>
  </w:num>
  <w:num w:numId="9">
    <w:abstractNumId w:val="30"/>
  </w:num>
  <w:num w:numId="11">
    <w:abstractNumId w:val="24"/>
  </w:num>
  <w:num w:numId="13">
    <w:abstractNumId w:val="18"/>
  </w:num>
  <w:num w:numId="15">
    <w:abstractNumId w:val="12"/>
  </w:num>
  <w:num w:numId="17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